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B15063" w14:textId="7AAA8F71" w:rsidR="009A6852" w:rsidRPr="00643914" w:rsidRDefault="009A6852" w:rsidP="009A685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10</w:t>
      </w:r>
      <w:r w:rsidR="00196871">
        <w:rPr>
          <w:rFonts w:ascii="Arial" w:hAnsi="Arial" w:cs="Arial"/>
          <w:b/>
          <w:sz w:val="24"/>
          <w:szCs w:val="24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4B6483" w:rsidRPr="004B6483">
        <w:rPr>
          <w:rFonts w:ascii="Arial" w:hAnsi="Arial" w:cs="Arial"/>
          <w:b/>
          <w:sz w:val="24"/>
          <w:szCs w:val="24"/>
        </w:rPr>
        <w:t>2312239</w:t>
      </w:r>
    </w:p>
    <w:p w14:paraId="3C099A6D" w14:textId="07C0F002" w:rsidR="009A6852" w:rsidRDefault="00196871" w:rsidP="009A6852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Yu Mincho Light" w:hAnsi="Arial" w:cs="Arial"/>
          <w:b/>
          <w:bCs/>
          <w:sz w:val="24"/>
          <w:szCs w:val="24"/>
          <w:lang w:val="en-US" w:eastAsia="zh-CN"/>
        </w:rPr>
      </w:pPr>
      <w:r w:rsidRPr="00890CBC">
        <w:rPr>
          <w:rFonts w:ascii="Arial" w:eastAsia="SimSun" w:hAnsi="Arial"/>
          <w:b/>
          <w:sz w:val="24"/>
          <w:szCs w:val="24"/>
          <w:lang w:eastAsia="zh-CN"/>
        </w:rPr>
        <w:t>Toulouse, France, August 21 – 25, 2023</w:t>
      </w:r>
    </w:p>
    <w:p w14:paraId="577624A8" w14:textId="77777777" w:rsidR="009A6852" w:rsidRPr="004B173C" w:rsidRDefault="009A6852" w:rsidP="009A6852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Yu Mincho Light" w:hAnsi="Arial" w:cs="Arial"/>
          <w:b/>
          <w:bCs/>
          <w:sz w:val="24"/>
          <w:szCs w:val="24"/>
          <w:lang w:val="en-US" w:eastAsia="zh-CN"/>
        </w:rPr>
      </w:pPr>
    </w:p>
    <w:p w14:paraId="6A6931CC" w14:textId="77777777" w:rsidR="009A6852" w:rsidRPr="00576FCA" w:rsidRDefault="009A6852" w:rsidP="009A6852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0A8471C" w14:textId="24AAFDC9" w:rsidR="009A6852" w:rsidRPr="00D00460" w:rsidRDefault="009A6852" w:rsidP="009A6852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 xml:space="preserve">Discussion on </w:t>
      </w:r>
      <w:r w:rsidR="00726231">
        <w:rPr>
          <w:rFonts w:ascii="Arial" w:hAnsi="Arial" w:cs="Arial"/>
          <w:lang w:val="en-US"/>
        </w:rPr>
        <w:t>mobility</w:t>
      </w:r>
      <w:r>
        <w:rPr>
          <w:rFonts w:ascii="Arial" w:hAnsi="Arial" w:cs="Arial"/>
          <w:lang w:val="en-US"/>
        </w:rPr>
        <w:t xml:space="preserve"> requirements</w:t>
      </w:r>
      <w:r w:rsidRPr="00D80D10">
        <w:rPr>
          <w:rFonts w:ascii="Arial" w:hAnsi="Arial" w:cs="Arial"/>
          <w:lang w:val="en-US"/>
        </w:rPr>
        <w:t xml:space="preserve"> for ATG RRM </w:t>
      </w:r>
    </w:p>
    <w:p w14:paraId="32BCDB82" w14:textId="238FEC32" w:rsidR="009A6852" w:rsidRPr="00012012" w:rsidRDefault="009A6852" w:rsidP="009A6852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F15315">
        <w:rPr>
          <w:rFonts w:ascii="Arial" w:hAnsi="Arial" w:cs="Arial"/>
          <w:lang w:val="en-US" w:eastAsia="ko-KR"/>
        </w:rPr>
        <w:t>8.13.4.2</w:t>
      </w:r>
    </w:p>
    <w:p w14:paraId="123DD801" w14:textId="77777777" w:rsidR="009A6852" w:rsidRPr="00576FCA" w:rsidRDefault="009A6852" w:rsidP="009A6852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  <w:bookmarkStart w:id="0" w:name="_GoBack"/>
      <w:bookmarkEnd w:id="0"/>
    </w:p>
    <w:p w14:paraId="4A3AA29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67B89F0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0C67A04C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7E7D2A7E" w14:textId="77777777" w:rsidR="005E2BB0" w:rsidRDefault="00812EBD" w:rsidP="005E2B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5E2BB0">
        <w:rPr>
          <w:lang w:val="en-US" w:eastAsia="ko-KR"/>
        </w:rPr>
        <w:t xml:space="preserve">In this contribution, we provide our views </w:t>
      </w:r>
      <w:r w:rsidR="0013076C">
        <w:rPr>
          <w:lang w:val="en-US" w:eastAsia="ko-KR"/>
        </w:rPr>
        <w:t>on mobility requirements for ATG RRM.</w:t>
      </w:r>
    </w:p>
    <w:p w14:paraId="22D42E65" w14:textId="77777777" w:rsidR="00683CAB" w:rsidRDefault="00683CAB" w:rsidP="00662107">
      <w:pPr>
        <w:pStyle w:val="a0"/>
        <w:jc w:val="both"/>
        <w:rPr>
          <w:lang w:val="en-US" w:eastAsia="ko-KR"/>
        </w:rPr>
      </w:pPr>
    </w:p>
    <w:p w14:paraId="41048DAA" w14:textId="77777777" w:rsidR="006C36D4" w:rsidRDefault="005E2BB0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3574734D" w14:textId="423A3311" w:rsidR="00F15315" w:rsidRPr="00F15315" w:rsidRDefault="00F15315" w:rsidP="00F1531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For ATG mobility, RAN</w:t>
      </w:r>
      <w:r>
        <w:rPr>
          <w:lang w:val="en-US" w:eastAsia="ko-KR"/>
        </w:rPr>
        <w:t>4 discussed and agreed as follows [1].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96871" w14:paraId="0F791AE3" w14:textId="77777777" w:rsidTr="00196871">
        <w:tc>
          <w:tcPr>
            <w:tcW w:w="9855" w:type="dxa"/>
          </w:tcPr>
          <w:p w14:paraId="34092200" w14:textId="77777777" w:rsidR="00196871" w:rsidRDefault="00196871" w:rsidP="00196871">
            <w:pPr>
              <w:rPr>
                <w:b/>
                <w:u w:val="single"/>
                <w:lang w:eastAsia="ko-KR"/>
              </w:rPr>
            </w:pPr>
            <w:r w:rsidRPr="00251229">
              <w:rPr>
                <w:b/>
                <w:u w:val="single"/>
                <w:lang w:eastAsia="ko-KR"/>
              </w:rPr>
              <w:t>Issue 2-1-1: Cell re-selection mechanism</w:t>
            </w:r>
          </w:p>
          <w:p w14:paraId="5D6A21EE" w14:textId="77777777" w:rsidR="00196871" w:rsidRPr="00251229" w:rsidRDefault="00196871" w:rsidP="00196871">
            <w:pPr>
              <w:rPr>
                <w:rFonts w:eastAsiaTheme="minorEastAsia"/>
                <w:b/>
                <w:bCs/>
                <w:iCs/>
              </w:rPr>
            </w:pPr>
            <w:r w:rsidRPr="00251229">
              <w:rPr>
                <w:rFonts w:eastAsiaTheme="minorEastAsia" w:hint="eastAsia"/>
                <w:b/>
                <w:bCs/>
                <w:iCs/>
              </w:rPr>
              <w:t>Agreement</w:t>
            </w:r>
          </w:p>
          <w:p w14:paraId="4BA48FB0" w14:textId="458F56D8" w:rsidR="00196871" w:rsidRPr="001D637B" w:rsidRDefault="00196871" w:rsidP="00196871">
            <w:pPr>
              <w:pStyle w:val="ad"/>
              <w:numPr>
                <w:ilvl w:val="0"/>
                <w:numId w:val="3"/>
              </w:numPr>
              <w:ind w:leftChars="0"/>
              <w:rPr>
                <w:rFonts w:eastAsia="SimSun"/>
              </w:rPr>
            </w:pPr>
            <w:r>
              <w:rPr>
                <w:rFonts w:eastAsia="SimSun"/>
              </w:rPr>
              <w:t>D</w:t>
            </w:r>
            <w:r w:rsidRPr="001D637B">
              <w:rPr>
                <w:rFonts w:eastAsia="SimSun" w:hint="eastAsia"/>
              </w:rPr>
              <w:t>istance-based solution</w:t>
            </w:r>
          </w:p>
          <w:p w14:paraId="03291FD1" w14:textId="77777777" w:rsidR="00196871" w:rsidRPr="00251229" w:rsidRDefault="00196871" w:rsidP="00196871">
            <w:pPr>
              <w:pStyle w:val="ad"/>
              <w:numPr>
                <w:ilvl w:val="1"/>
                <w:numId w:val="3"/>
              </w:numPr>
              <w:ind w:leftChars="0"/>
              <w:rPr>
                <w:rFonts w:eastAsia="SimSun"/>
              </w:rPr>
            </w:pPr>
            <w:r w:rsidRPr="00251229">
              <w:rPr>
                <w:rFonts w:eastAsia="SimSun" w:hint="eastAsia"/>
              </w:rPr>
              <w:t xml:space="preserve">Option 1: </w:t>
            </w:r>
            <w:r w:rsidRPr="00251229">
              <w:rPr>
                <w:rFonts w:eastAsia="SimSun"/>
              </w:rPr>
              <w:t>Introduce distance-based triggering as an additional condition for intra- and inter-frequency cell measurement as NTN, whether and how to configure the feature is up to network implementation</w:t>
            </w:r>
            <w:r w:rsidRPr="00251229">
              <w:rPr>
                <w:rFonts w:eastAsia="SimSun" w:hint="eastAsia"/>
              </w:rPr>
              <w:t xml:space="preserve">, provided that existing NTN </w:t>
            </w:r>
            <w:r w:rsidRPr="00251229">
              <w:rPr>
                <w:rFonts w:eastAsia="SimSun"/>
              </w:rPr>
              <w:t>signalling</w:t>
            </w:r>
            <w:r w:rsidRPr="00251229">
              <w:rPr>
                <w:rFonts w:eastAsia="SimSun" w:hint="eastAsia"/>
              </w:rPr>
              <w:t xml:space="preserve"> is reused.</w:t>
            </w:r>
          </w:p>
          <w:p w14:paraId="5BB65656" w14:textId="77777777" w:rsidR="00196871" w:rsidRPr="00251229" w:rsidRDefault="00196871" w:rsidP="00196871">
            <w:pPr>
              <w:pStyle w:val="ad"/>
              <w:numPr>
                <w:ilvl w:val="1"/>
                <w:numId w:val="3"/>
              </w:numPr>
              <w:ind w:leftChars="0"/>
              <w:rPr>
                <w:rFonts w:eastAsia="SimSun"/>
              </w:rPr>
            </w:pPr>
            <w:r w:rsidRPr="00251229">
              <w:rPr>
                <w:rFonts w:eastAsia="SimSun" w:hint="eastAsia"/>
              </w:rPr>
              <w:t xml:space="preserve">Option 2: Do not introduce distance-based </w:t>
            </w:r>
            <w:r w:rsidRPr="00251229">
              <w:rPr>
                <w:rFonts w:eastAsia="SimSun"/>
              </w:rPr>
              <w:t>triggering</w:t>
            </w:r>
            <w:r w:rsidRPr="00251229">
              <w:rPr>
                <w:rFonts w:eastAsia="SimSun" w:hint="eastAsia"/>
              </w:rPr>
              <w:t xml:space="preserve"> measurement. </w:t>
            </w:r>
          </w:p>
          <w:p w14:paraId="7D1B1109" w14:textId="77777777" w:rsidR="00196871" w:rsidRPr="002B7C98" w:rsidRDefault="00196871" w:rsidP="00196871">
            <w:pPr>
              <w:pStyle w:val="ad"/>
              <w:numPr>
                <w:ilvl w:val="0"/>
                <w:numId w:val="3"/>
              </w:numPr>
              <w:ind w:leftChars="0"/>
              <w:rPr>
                <w:rFonts w:eastAsia="SimSun"/>
              </w:rPr>
            </w:pPr>
            <w:r w:rsidRPr="002B7C98">
              <w:rPr>
                <w:rFonts w:eastAsia="SimSun" w:hint="eastAsia"/>
              </w:rPr>
              <w:t>Altitude-based solution</w:t>
            </w:r>
          </w:p>
          <w:p w14:paraId="1269776A" w14:textId="77777777" w:rsidR="00196871" w:rsidRPr="00251229" w:rsidRDefault="00196871" w:rsidP="00196871">
            <w:pPr>
              <w:pStyle w:val="ad"/>
              <w:numPr>
                <w:ilvl w:val="1"/>
                <w:numId w:val="3"/>
              </w:numPr>
              <w:ind w:leftChars="0"/>
              <w:rPr>
                <w:rFonts w:eastAsia="SimSun"/>
              </w:rPr>
            </w:pPr>
            <w:r w:rsidRPr="00251229">
              <w:rPr>
                <w:rFonts w:eastAsia="SimSun" w:hint="eastAsia"/>
              </w:rPr>
              <w:t xml:space="preserve">Common understanding is that ATG UE is turned off lower 3km altitude. </w:t>
            </w:r>
          </w:p>
          <w:p w14:paraId="58A5B604" w14:textId="77777777" w:rsidR="00196871" w:rsidRDefault="00196871" w:rsidP="00196871">
            <w:pPr>
              <w:pStyle w:val="ad"/>
              <w:numPr>
                <w:ilvl w:val="1"/>
                <w:numId w:val="3"/>
              </w:numPr>
              <w:ind w:leftChars="0"/>
              <w:rPr>
                <w:rFonts w:eastAsia="SimSun"/>
              </w:rPr>
            </w:pPr>
            <w:r w:rsidRPr="00251229">
              <w:rPr>
                <w:rFonts w:eastAsia="SimSun" w:hint="eastAsia"/>
              </w:rPr>
              <w:t>The ATG RRM requirements apply for ATG UE operating higher than 3km altitude.</w:t>
            </w:r>
          </w:p>
          <w:p w14:paraId="71CA825D" w14:textId="77777777" w:rsidR="00196871" w:rsidRPr="00001EF7" w:rsidRDefault="00196871" w:rsidP="00001EF7">
            <w:pPr>
              <w:rPr>
                <w:rFonts w:eastAsia="SimSun"/>
              </w:rPr>
            </w:pPr>
          </w:p>
          <w:p w14:paraId="7E8ED091" w14:textId="77777777" w:rsidR="00196871" w:rsidRDefault="00196871" w:rsidP="00196871">
            <w:pPr>
              <w:rPr>
                <w:b/>
                <w:u w:val="single"/>
                <w:lang w:eastAsia="ko-KR"/>
              </w:rPr>
            </w:pPr>
            <w:r w:rsidRPr="001D637B">
              <w:rPr>
                <w:b/>
                <w:u w:val="single"/>
                <w:lang w:eastAsia="ko-KR"/>
              </w:rPr>
              <w:t>Issue 2-2-1: location-based CHO mechanism</w:t>
            </w:r>
          </w:p>
          <w:p w14:paraId="47E434ED" w14:textId="77777777" w:rsidR="00196871" w:rsidRPr="004C2705" w:rsidRDefault="00196871" w:rsidP="00196871">
            <w:pPr>
              <w:rPr>
                <w:rFonts w:eastAsiaTheme="minorEastAsia"/>
                <w:iCs/>
              </w:rPr>
            </w:pPr>
            <w:r w:rsidRPr="00E53D71">
              <w:rPr>
                <w:rFonts w:eastAsiaTheme="minorEastAsia" w:hint="eastAsia"/>
                <w:iCs/>
              </w:rPr>
              <w:t>A</w:t>
            </w:r>
            <w:r w:rsidRPr="00E53D71">
              <w:rPr>
                <w:rFonts w:eastAsiaTheme="minorEastAsia"/>
                <w:iCs/>
              </w:rPr>
              <w:t>greement</w:t>
            </w:r>
            <w:r>
              <w:rPr>
                <w:rFonts w:eastAsiaTheme="minorEastAsia"/>
                <w:iCs/>
              </w:rPr>
              <w:t>s:</w:t>
            </w:r>
          </w:p>
          <w:p w14:paraId="18CF3175" w14:textId="77777777" w:rsidR="00196871" w:rsidRPr="009C7041" w:rsidRDefault="00196871" w:rsidP="00196871">
            <w:pPr>
              <w:pStyle w:val="ad"/>
              <w:numPr>
                <w:ilvl w:val="0"/>
                <w:numId w:val="3"/>
              </w:numPr>
              <w:ind w:leftChars="0"/>
              <w:rPr>
                <w:rFonts w:eastAsia="SimSun"/>
              </w:rPr>
            </w:pPr>
            <w:r w:rsidRPr="009C7041">
              <w:rPr>
                <w:rFonts w:eastAsia="SimSun"/>
              </w:rPr>
              <w:t>Option 1: For the location-based CHO, reusing the procedure in R17 NTN for R18 ATG (combines RSRP and location based triggering condition) with existing NTN signaling.</w:t>
            </w:r>
          </w:p>
          <w:p w14:paraId="0A3E07AD" w14:textId="77777777" w:rsidR="00196871" w:rsidRDefault="00196871" w:rsidP="00196871">
            <w:pPr>
              <w:pStyle w:val="ad"/>
              <w:numPr>
                <w:ilvl w:val="0"/>
                <w:numId w:val="3"/>
              </w:numPr>
              <w:ind w:leftChars="0"/>
              <w:rPr>
                <w:rFonts w:eastAsia="SimSun"/>
              </w:rPr>
            </w:pPr>
            <w:r w:rsidRPr="009C7041">
              <w:rPr>
                <w:rFonts w:eastAsia="SimSun"/>
              </w:rPr>
              <w:t>Option 2: Do not introduce location-based CHO.</w:t>
            </w:r>
          </w:p>
          <w:p w14:paraId="0AD8DC46" w14:textId="77777777" w:rsidR="00B648C5" w:rsidRDefault="00B648C5" w:rsidP="00B648C5">
            <w:pPr>
              <w:rPr>
                <w:b/>
                <w:u w:val="single"/>
                <w:lang w:eastAsia="ko-KR"/>
              </w:rPr>
            </w:pPr>
            <w:r w:rsidRPr="009C7041">
              <w:rPr>
                <w:b/>
                <w:u w:val="single"/>
                <w:lang w:eastAsia="ko-KR"/>
              </w:rPr>
              <w:t>Issue 2-2-3: Requirement for location-based CHO if agreed to be introduced</w:t>
            </w:r>
          </w:p>
          <w:p w14:paraId="3C872A65" w14:textId="77777777" w:rsidR="00B648C5" w:rsidRPr="001D637B" w:rsidRDefault="00B648C5" w:rsidP="00B648C5">
            <w:pPr>
              <w:pStyle w:val="ad"/>
              <w:numPr>
                <w:ilvl w:val="0"/>
                <w:numId w:val="3"/>
              </w:numPr>
              <w:ind w:leftChars="0"/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 w:hint="eastAsia"/>
              </w:rPr>
              <w:t>f location-based CHO is introduced, requirements are as follows:</w:t>
            </w:r>
          </w:p>
          <w:p w14:paraId="28722AAD" w14:textId="77777777" w:rsidR="00B648C5" w:rsidRPr="007220A7" w:rsidRDefault="00B648C5" w:rsidP="00B648C5">
            <w:pPr>
              <w:pStyle w:val="ad"/>
              <w:numPr>
                <w:ilvl w:val="1"/>
                <w:numId w:val="3"/>
              </w:numPr>
              <w:ind w:leftChars="0"/>
              <w:rPr>
                <w:rFonts w:eastAsia="等线"/>
              </w:rPr>
            </w:pPr>
            <w:r w:rsidRPr="007220A7">
              <w:rPr>
                <w:rFonts w:eastAsia="等线"/>
              </w:rPr>
              <w:t>For the requirement of location-based CHO, the definition of T</w:t>
            </w:r>
            <w:r w:rsidRPr="007220A7">
              <w:rPr>
                <w:rFonts w:eastAsia="等线"/>
                <w:vertAlign w:val="subscript"/>
              </w:rPr>
              <w:t>measure</w:t>
            </w:r>
            <w:r w:rsidRPr="007220A7">
              <w:rPr>
                <w:rFonts w:eastAsia="等线"/>
              </w:rPr>
              <w:t xml:space="preserve"> should be revised, others can reuse the legacy.</w:t>
            </w:r>
          </w:p>
          <w:p w14:paraId="3EDBFB5A" w14:textId="77777777" w:rsidR="00B648C5" w:rsidRPr="007220A7" w:rsidRDefault="00B648C5" w:rsidP="00B648C5">
            <w:pPr>
              <w:pStyle w:val="ad"/>
              <w:numPr>
                <w:ilvl w:val="2"/>
                <w:numId w:val="3"/>
              </w:numPr>
              <w:ind w:leftChars="0"/>
              <w:rPr>
                <w:rFonts w:eastAsia="等线"/>
              </w:rPr>
            </w:pPr>
            <w:r w:rsidRPr="007220A7">
              <w:t>D</w:t>
            </w:r>
            <w:r w:rsidRPr="007220A7">
              <w:rPr>
                <w:vertAlign w:val="subscript"/>
              </w:rPr>
              <w:t>CHO</w:t>
            </w:r>
            <w:r w:rsidRPr="007220A7">
              <w:t xml:space="preserve"> = T</w:t>
            </w:r>
            <w:r w:rsidRPr="007220A7">
              <w:rPr>
                <w:vertAlign w:val="subscript"/>
              </w:rPr>
              <w:t>RRC</w:t>
            </w:r>
            <w:r w:rsidRPr="007220A7">
              <w:t xml:space="preserve"> + </w:t>
            </w:r>
            <w:r w:rsidRPr="007220A7">
              <w:rPr>
                <w:lang w:eastAsia="en-GB"/>
              </w:rPr>
              <w:t>T</w:t>
            </w:r>
            <w:r w:rsidRPr="007220A7">
              <w:rPr>
                <w:vertAlign w:val="subscript"/>
                <w:lang w:eastAsia="en-GB"/>
              </w:rPr>
              <w:t>Event_DU</w:t>
            </w:r>
            <w:r w:rsidRPr="007220A7">
              <w:rPr>
                <w:lang w:eastAsia="en-GB"/>
              </w:rPr>
              <w:t xml:space="preserve"> + </w:t>
            </w:r>
            <w:r w:rsidRPr="007220A7">
              <w:t>T</w:t>
            </w:r>
            <w:r w:rsidRPr="007220A7">
              <w:rPr>
                <w:vertAlign w:val="subscript"/>
              </w:rPr>
              <w:t>measure</w:t>
            </w:r>
            <w:r w:rsidRPr="007220A7">
              <w:t xml:space="preserve"> + T</w:t>
            </w:r>
            <w:r w:rsidRPr="007220A7">
              <w:rPr>
                <w:vertAlign w:val="subscript"/>
              </w:rPr>
              <w:t>interrupt</w:t>
            </w:r>
            <w:r w:rsidRPr="007220A7">
              <w:t xml:space="preserve"> + </w:t>
            </w:r>
            <w:r w:rsidRPr="007220A7">
              <w:rPr>
                <w:lang w:eastAsia="en-GB"/>
              </w:rPr>
              <w:t>T</w:t>
            </w:r>
            <w:r w:rsidRPr="007220A7">
              <w:rPr>
                <w:vertAlign w:val="subscript"/>
                <w:lang w:eastAsia="en-GB"/>
              </w:rPr>
              <w:t>CHO_execution</w:t>
            </w:r>
          </w:p>
          <w:p w14:paraId="184670A2" w14:textId="77777777" w:rsidR="00B648C5" w:rsidRPr="007220A7" w:rsidRDefault="00B648C5" w:rsidP="00B648C5">
            <w:pPr>
              <w:pStyle w:val="ad"/>
              <w:numPr>
                <w:ilvl w:val="1"/>
                <w:numId w:val="3"/>
              </w:numPr>
              <w:ind w:leftChars="0"/>
            </w:pPr>
            <w:r w:rsidRPr="007220A7">
              <w:rPr>
                <w:rFonts w:hint="eastAsia"/>
              </w:rPr>
              <w:t>F</w:t>
            </w:r>
            <w:r w:rsidRPr="007220A7">
              <w:t>or T</w:t>
            </w:r>
            <w:r w:rsidRPr="007220A7">
              <w:rPr>
                <w:vertAlign w:val="subscript"/>
              </w:rPr>
              <w:t xml:space="preserve">measure </w:t>
            </w:r>
            <w:r w:rsidRPr="007220A7">
              <w:t>of intra-frequency handover,</w:t>
            </w:r>
          </w:p>
          <w:p w14:paraId="615BAE86" w14:textId="77777777" w:rsidR="00B648C5" w:rsidRPr="007220A7" w:rsidRDefault="00B648C5" w:rsidP="00B648C5">
            <w:pPr>
              <w:pStyle w:val="ad"/>
              <w:numPr>
                <w:ilvl w:val="2"/>
                <w:numId w:val="3"/>
              </w:numPr>
              <w:ind w:leftChars="0"/>
            </w:pPr>
            <w:r w:rsidRPr="007220A7">
              <w:t>If both condition D1-1 and condition D1-2 are fulfilled earlier than T</w:t>
            </w:r>
            <w:r w:rsidRPr="007220A7">
              <w:rPr>
                <w:vertAlign w:val="subscript"/>
              </w:rPr>
              <w:t>Event_DU</w:t>
            </w:r>
            <w:r w:rsidRPr="007220A7">
              <w:t xml:space="preserve"> + T</w:t>
            </w:r>
            <w:r w:rsidRPr="007220A7">
              <w:rPr>
                <w:vertAlign w:val="subscript"/>
              </w:rPr>
              <w:t>identify</w:t>
            </w:r>
            <w:r w:rsidRPr="007220A7">
              <w:rPr>
                <w:rFonts w:hint="eastAsia"/>
                <w:vertAlign w:val="subscript"/>
              </w:rPr>
              <w:t>_</w:t>
            </w:r>
            <w:r w:rsidRPr="007220A7">
              <w:rPr>
                <w:vertAlign w:val="subscript"/>
              </w:rPr>
              <w:t>intra_with</w:t>
            </w:r>
            <w:r w:rsidRPr="007220A7">
              <w:rPr>
                <w:rFonts w:hint="eastAsia"/>
                <w:vertAlign w:val="subscript"/>
              </w:rPr>
              <w:t>_</w:t>
            </w:r>
            <w:r w:rsidRPr="007220A7">
              <w:rPr>
                <w:vertAlign w:val="subscript"/>
              </w:rPr>
              <w:t xml:space="preserve">index </w:t>
            </w:r>
            <w:r w:rsidRPr="007220A7">
              <w:t>or T</w:t>
            </w:r>
            <w:r w:rsidRPr="007220A7">
              <w:rPr>
                <w:vertAlign w:val="subscript"/>
              </w:rPr>
              <w:t>Event_DU</w:t>
            </w:r>
            <w:r w:rsidRPr="007220A7">
              <w:t xml:space="preserve"> + T</w:t>
            </w:r>
            <w:r w:rsidRPr="007220A7">
              <w:rPr>
                <w:vertAlign w:val="subscript"/>
              </w:rPr>
              <w:t>identify_intra_without_index</w:t>
            </w:r>
            <w:r w:rsidRPr="007220A7">
              <w:t>, then the measurement time delay equal to T</w:t>
            </w:r>
            <w:r w:rsidRPr="007220A7">
              <w:rPr>
                <w:vertAlign w:val="subscript"/>
              </w:rPr>
              <w:t>identify</w:t>
            </w:r>
            <w:r w:rsidRPr="007220A7">
              <w:rPr>
                <w:rFonts w:hint="eastAsia"/>
                <w:vertAlign w:val="subscript"/>
              </w:rPr>
              <w:t>_</w:t>
            </w:r>
            <w:r w:rsidRPr="007220A7">
              <w:rPr>
                <w:vertAlign w:val="subscript"/>
              </w:rPr>
              <w:t>intra_with</w:t>
            </w:r>
            <w:r w:rsidRPr="007220A7">
              <w:rPr>
                <w:rFonts w:hint="eastAsia"/>
                <w:vertAlign w:val="subscript"/>
              </w:rPr>
              <w:t>_</w:t>
            </w:r>
            <w:r w:rsidRPr="007220A7">
              <w:rPr>
                <w:vertAlign w:val="subscript"/>
              </w:rPr>
              <w:t xml:space="preserve">index </w:t>
            </w:r>
            <w:r w:rsidRPr="007220A7">
              <w:t>or T</w:t>
            </w:r>
            <w:r w:rsidRPr="007220A7">
              <w:rPr>
                <w:vertAlign w:val="subscript"/>
              </w:rPr>
              <w:t>identify_intra_without_index</w:t>
            </w:r>
            <w:r w:rsidRPr="007220A7">
              <w:t>.</w:t>
            </w:r>
          </w:p>
          <w:p w14:paraId="154322F3" w14:textId="77777777" w:rsidR="00B648C5" w:rsidRPr="007220A7" w:rsidRDefault="00B648C5" w:rsidP="00B648C5">
            <w:pPr>
              <w:pStyle w:val="ad"/>
              <w:numPr>
                <w:ilvl w:val="2"/>
                <w:numId w:val="3"/>
              </w:numPr>
              <w:ind w:leftChars="0"/>
            </w:pPr>
            <w:r w:rsidRPr="007220A7">
              <w:t>If both condition D1-1 and condition D1-2 are fulfilled is later than T</w:t>
            </w:r>
            <w:r w:rsidRPr="007220A7">
              <w:rPr>
                <w:vertAlign w:val="subscript"/>
              </w:rPr>
              <w:t>Event_DU</w:t>
            </w:r>
            <w:r w:rsidRPr="007220A7">
              <w:t xml:space="preserve"> plus T</w:t>
            </w:r>
            <w:r w:rsidRPr="007220A7">
              <w:rPr>
                <w:vertAlign w:val="subscript"/>
              </w:rPr>
              <w:t>identify</w:t>
            </w:r>
            <w:r w:rsidRPr="007220A7">
              <w:rPr>
                <w:rFonts w:hint="eastAsia"/>
                <w:vertAlign w:val="subscript"/>
              </w:rPr>
              <w:t>_</w:t>
            </w:r>
            <w:r w:rsidRPr="007220A7">
              <w:rPr>
                <w:vertAlign w:val="subscript"/>
              </w:rPr>
              <w:t>intra_with</w:t>
            </w:r>
            <w:r w:rsidRPr="007220A7">
              <w:rPr>
                <w:rFonts w:hint="eastAsia"/>
                <w:vertAlign w:val="subscript"/>
              </w:rPr>
              <w:t>_</w:t>
            </w:r>
            <w:r w:rsidRPr="007220A7">
              <w:rPr>
                <w:vertAlign w:val="subscript"/>
              </w:rPr>
              <w:t xml:space="preserve">index </w:t>
            </w:r>
            <w:r w:rsidRPr="007220A7">
              <w:t>or T</w:t>
            </w:r>
            <w:r w:rsidRPr="007220A7">
              <w:rPr>
                <w:vertAlign w:val="subscript"/>
              </w:rPr>
              <w:t>identify_intra_without_index</w:t>
            </w:r>
            <w:r w:rsidRPr="007220A7">
              <w:t xml:space="preserve"> for intra-frequency handover, then the measurement time delay equal to the time from the end of T</w:t>
            </w:r>
            <w:r w:rsidRPr="007220A7">
              <w:rPr>
                <w:vertAlign w:val="subscript"/>
              </w:rPr>
              <w:t>event_DU</w:t>
            </w:r>
            <w:r w:rsidRPr="007220A7">
              <w:t xml:space="preserve"> until time when both condition D1-1 and condition D1-2 are fulfilled.</w:t>
            </w:r>
          </w:p>
          <w:p w14:paraId="4BA076B4" w14:textId="77777777" w:rsidR="00B648C5" w:rsidRPr="007220A7" w:rsidRDefault="00B648C5" w:rsidP="00B648C5">
            <w:pPr>
              <w:pStyle w:val="ad"/>
              <w:numPr>
                <w:ilvl w:val="1"/>
                <w:numId w:val="3"/>
              </w:numPr>
              <w:ind w:leftChars="0"/>
            </w:pPr>
            <w:r w:rsidRPr="007220A7">
              <w:rPr>
                <w:rFonts w:hint="eastAsia"/>
              </w:rPr>
              <w:t>F</w:t>
            </w:r>
            <w:r w:rsidRPr="007220A7">
              <w:t>or T</w:t>
            </w:r>
            <w:r w:rsidRPr="007220A7">
              <w:rPr>
                <w:vertAlign w:val="subscript"/>
              </w:rPr>
              <w:t xml:space="preserve">measure </w:t>
            </w:r>
            <w:r w:rsidRPr="007220A7">
              <w:t>of inter-frequency handover,</w:t>
            </w:r>
          </w:p>
          <w:p w14:paraId="65F6BA98" w14:textId="77777777" w:rsidR="00B648C5" w:rsidRPr="007220A7" w:rsidRDefault="00B648C5" w:rsidP="00B648C5">
            <w:pPr>
              <w:pStyle w:val="ad"/>
              <w:numPr>
                <w:ilvl w:val="2"/>
                <w:numId w:val="3"/>
              </w:numPr>
              <w:ind w:leftChars="0"/>
            </w:pPr>
            <w:r w:rsidRPr="007220A7">
              <w:t>If both condition D1-1 and condition D1-2 are fulfilled earlier than T</w:t>
            </w:r>
            <w:r w:rsidRPr="007220A7">
              <w:rPr>
                <w:vertAlign w:val="subscript"/>
              </w:rPr>
              <w:t>Event_DU</w:t>
            </w:r>
            <w:r w:rsidRPr="007220A7">
              <w:t xml:space="preserve"> + T</w:t>
            </w:r>
            <w:r w:rsidRPr="007220A7">
              <w:rPr>
                <w:vertAlign w:val="subscript"/>
              </w:rPr>
              <w:t>identify</w:t>
            </w:r>
            <w:r w:rsidRPr="007220A7">
              <w:rPr>
                <w:rFonts w:hint="eastAsia"/>
                <w:vertAlign w:val="subscript"/>
              </w:rPr>
              <w:t>_</w:t>
            </w:r>
            <w:r w:rsidRPr="007220A7">
              <w:rPr>
                <w:vertAlign w:val="subscript"/>
              </w:rPr>
              <w:t>int</w:t>
            </w:r>
            <w:r w:rsidRPr="007220A7">
              <w:rPr>
                <w:rFonts w:hint="eastAsia"/>
                <w:vertAlign w:val="subscript"/>
              </w:rPr>
              <w:t>er</w:t>
            </w:r>
            <w:r w:rsidRPr="007220A7">
              <w:rPr>
                <w:vertAlign w:val="subscript"/>
              </w:rPr>
              <w:t>_with</w:t>
            </w:r>
            <w:r w:rsidRPr="007220A7">
              <w:rPr>
                <w:rFonts w:hint="eastAsia"/>
                <w:vertAlign w:val="subscript"/>
              </w:rPr>
              <w:t>_</w:t>
            </w:r>
            <w:r w:rsidRPr="007220A7">
              <w:rPr>
                <w:vertAlign w:val="subscript"/>
              </w:rPr>
              <w:t xml:space="preserve">index </w:t>
            </w:r>
            <w:r w:rsidRPr="007220A7">
              <w:t>or T</w:t>
            </w:r>
            <w:r w:rsidRPr="007220A7">
              <w:rPr>
                <w:vertAlign w:val="subscript"/>
              </w:rPr>
              <w:t>Event_DU</w:t>
            </w:r>
            <w:r w:rsidRPr="007220A7">
              <w:t xml:space="preserve"> + T</w:t>
            </w:r>
            <w:r w:rsidRPr="007220A7">
              <w:rPr>
                <w:vertAlign w:val="subscript"/>
              </w:rPr>
              <w:t>identify_int</w:t>
            </w:r>
            <w:r w:rsidRPr="007220A7">
              <w:rPr>
                <w:rFonts w:hint="eastAsia"/>
                <w:vertAlign w:val="subscript"/>
              </w:rPr>
              <w:t>er</w:t>
            </w:r>
            <w:r w:rsidRPr="007220A7">
              <w:rPr>
                <w:vertAlign w:val="subscript"/>
              </w:rPr>
              <w:t>_without_index</w:t>
            </w:r>
            <w:r w:rsidRPr="007220A7">
              <w:t>, then the measurement time delay equal to T</w:t>
            </w:r>
            <w:r w:rsidRPr="007220A7">
              <w:rPr>
                <w:vertAlign w:val="subscript"/>
              </w:rPr>
              <w:t>identify</w:t>
            </w:r>
            <w:r w:rsidRPr="007220A7">
              <w:rPr>
                <w:rFonts w:hint="eastAsia"/>
                <w:vertAlign w:val="subscript"/>
              </w:rPr>
              <w:t>_</w:t>
            </w:r>
            <w:r w:rsidRPr="007220A7">
              <w:rPr>
                <w:vertAlign w:val="subscript"/>
              </w:rPr>
              <w:t>int</w:t>
            </w:r>
            <w:r w:rsidRPr="007220A7">
              <w:rPr>
                <w:rFonts w:hint="eastAsia"/>
                <w:vertAlign w:val="subscript"/>
              </w:rPr>
              <w:t>er</w:t>
            </w:r>
            <w:r w:rsidRPr="007220A7">
              <w:rPr>
                <w:vertAlign w:val="subscript"/>
              </w:rPr>
              <w:t>_with</w:t>
            </w:r>
            <w:r w:rsidRPr="007220A7">
              <w:rPr>
                <w:rFonts w:hint="eastAsia"/>
                <w:vertAlign w:val="subscript"/>
              </w:rPr>
              <w:t>_</w:t>
            </w:r>
            <w:r w:rsidRPr="007220A7">
              <w:rPr>
                <w:vertAlign w:val="subscript"/>
              </w:rPr>
              <w:t xml:space="preserve">index </w:t>
            </w:r>
            <w:r w:rsidRPr="007220A7">
              <w:t>or T</w:t>
            </w:r>
            <w:r w:rsidRPr="007220A7">
              <w:rPr>
                <w:vertAlign w:val="subscript"/>
              </w:rPr>
              <w:t>identify_int</w:t>
            </w:r>
            <w:r w:rsidRPr="007220A7">
              <w:rPr>
                <w:rFonts w:hint="eastAsia"/>
                <w:vertAlign w:val="subscript"/>
              </w:rPr>
              <w:t>er</w:t>
            </w:r>
            <w:r w:rsidRPr="007220A7">
              <w:rPr>
                <w:vertAlign w:val="subscript"/>
              </w:rPr>
              <w:t>_without_index</w:t>
            </w:r>
            <w:r w:rsidRPr="007220A7">
              <w:t>.</w:t>
            </w:r>
          </w:p>
          <w:p w14:paraId="735498DC" w14:textId="456145F1" w:rsidR="00B648C5" w:rsidRPr="00B648C5" w:rsidRDefault="00B648C5" w:rsidP="00B648C5">
            <w:pPr>
              <w:pStyle w:val="ad"/>
              <w:numPr>
                <w:ilvl w:val="2"/>
                <w:numId w:val="3"/>
              </w:numPr>
              <w:ind w:leftChars="0"/>
              <w:rPr>
                <w:rFonts w:eastAsia="SimSun"/>
              </w:rPr>
            </w:pPr>
            <w:r w:rsidRPr="007220A7">
              <w:t>If both condition D1-1 and condition D1-2 are fulfilled later than T</w:t>
            </w:r>
            <w:r w:rsidRPr="007220A7">
              <w:rPr>
                <w:vertAlign w:val="subscript"/>
              </w:rPr>
              <w:t>Event_DU</w:t>
            </w:r>
            <w:r w:rsidRPr="007220A7">
              <w:t xml:space="preserve"> plus T</w:t>
            </w:r>
            <w:r w:rsidRPr="007220A7">
              <w:rPr>
                <w:vertAlign w:val="subscript"/>
              </w:rPr>
              <w:t>identify</w:t>
            </w:r>
            <w:r w:rsidRPr="007220A7">
              <w:rPr>
                <w:rFonts w:hint="eastAsia"/>
                <w:vertAlign w:val="subscript"/>
              </w:rPr>
              <w:t>_</w:t>
            </w:r>
            <w:r w:rsidRPr="007220A7">
              <w:rPr>
                <w:vertAlign w:val="subscript"/>
              </w:rPr>
              <w:t>int</w:t>
            </w:r>
            <w:r w:rsidRPr="007220A7">
              <w:rPr>
                <w:rFonts w:hint="eastAsia"/>
                <w:vertAlign w:val="subscript"/>
              </w:rPr>
              <w:t>er</w:t>
            </w:r>
            <w:r w:rsidRPr="007220A7">
              <w:rPr>
                <w:vertAlign w:val="subscript"/>
              </w:rPr>
              <w:t>_with</w:t>
            </w:r>
            <w:r w:rsidRPr="007220A7">
              <w:rPr>
                <w:rFonts w:hint="eastAsia"/>
                <w:vertAlign w:val="subscript"/>
              </w:rPr>
              <w:t>_</w:t>
            </w:r>
            <w:r w:rsidRPr="007220A7">
              <w:rPr>
                <w:vertAlign w:val="subscript"/>
              </w:rPr>
              <w:t xml:space="preserve">index </w:t>
            </w:r>
            <w:r w:rsidRPr="007220A7">
              <w:t>or T</w:t>
            </w:r>
            <w:r w:rsidRPr="007220A7">
              <w:rPr>
                <w:vertAlign w:val="subscript"/>
              </w:rPr>
              <w:t>identify_int</w:t>
            </w:r>
            <w:r w:rsidRPr="007220A7">
              <w:rPr>
                <w:rFonts w:hint="eastAsia"/>
                <w:vertAlign w:val="subscript"/>
              </w:rPr>
              <w:t>er</w:t>
            </w:r>
            <w:r w:rsidRPr="007220A7">
              <w:rPr>
                <w:vertAlign w:val="subscript"/>
              </w:rPr>
              <w:t>_without_index</w:t>
            </w:r>
            <w:r w:rsidRPr="007220A7">
              <w:t>, then the measurement time delay equal to the time from the end of T</w:t>
            </w:r>
            <w:r w:rsidRPr="007220A7">
              <w:rPr>
                <w:vertAlign w:val="subscript"/>
              </w:rPr>
              <w:t>event_DU</w:t>
            </w:r>
            <w:r w:rsidRPr="007220A7">
              <w:t xml:space="preserve"> until time of both condition D1-1 and condition D1-2 are fulfilled.</w:t>
            </w:r>
          </w:p>
        </w:tc>
      </w:tr>
    </w:tbl>
    <w:p w14:paraId="66BB9CB4" w14:textId="4E7D59BD" w:rsidR="004862E8" w:rsidRDefault="005165BB" w:rsidP="004862E8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distance/location </w:t>
      </w:r>
      <w:r>
        <w:rPr>
          <w:lang w:val="en-US" w:eastAsia="ko-KR"/>
        </w:rPr>
        <w:t xml:space="preserve">based mobility in ATG, there could be a blind area in ATG BS coverage due to </w:t>
      </w:r>
      <w:r w:rsidR="00F15315">
        <w:rPr>
          <w:lang w:val="en-US" w:eastAsia="ko-KR"/>
        </w:rPr>
        <w:t xml:space="preserve">the </w:t>
      </w:r>
      <w:r>
        <w:rPr>
          <w:lang w:val="en-US" w:eastAsia="ko-KR"/>
        </w:rPr>
        <w:t>limitation of vertical antenna angle beam width and up-tilting angle (e.g., 6.5~14 degree</w:t>
      </w:r>
      <w:r w:rsidR="00F15315">
        <w:rPr>
          <w:lang w:val="en-US" w:eastAsia="ko-KR"/>
        </w:rPr>
        <w:t>s</w:t>
      </w:r>
      <w:r>
        <w:rPr>
          <w:lang w:val="en-US" w:eastAsia="ko-KR"/>
        </w:rPr>
        <w:t xml:space="preserve">). The blind area of the ATG BS would be covered by neighbor ATG BS. Even </w:t>
      </w:r>
      <w:r w:rsidR="00F15315">
        <w:rPr>
          <w:lang w:val="en-US" w:eastAsia="ko-KR"/>
        </w:rPr>
        <w:t xml:space="preserve">if </w:t>
      </w:r>
      <w:r>
        <w:rPr>
          <w:lang w:val="en-US" w:eastAsia="ko-KR"/>
        </w:rPr>
        <w:t>the ATG UE is close to the serving ATG BS and signal quality</w:t>
      </w:r>
      <w:r w:rsidR="008713B7">
        <w:rPr>
          <w:lang w:val="en-US" w:eastAsia="ko-KR"/>
        </w:rPr>
        <w:t xml:space="preserve"> is higher than S</w:t>
      </w:r>
      <w:r w:rsidR="008713B7" w:rsidRPr="008713B7">
        <w:rPr>
          <w:vertAlign w:val="subscript"/>
          <w:lang w:val="en-US" w:eastAsia="ko-KR"/>
        </w:rPr>
        <w:t>(non)TntraSearchP</w:t>
      </w:r>
      <w:r w:rsidR="008713B7">
        <w:rPr>
          <w:lang w:val="en-US" w:eastAsia="ko-KR"/>
        </w:rPr>
        <w:t xml:space="preserve">, the </w:t>
      </w:r>
      <w:r w:rsidR="008713B7">
        <w:rPr>
          <w:lang w:val="en-US" w:eastAsia="ko-KR"/>
        </w:rPr>
        <w:lastRenderedPageBreak/>
        <w:t xml:space="preserve">ATG UE could be located in </w:t>
      </w:r>
      <w:r w:rsidR="00F15315">
        <w:rPr>
          <w:lang w:val="en-US" w:eastAsia="ko-KR"/>
        </w:rPr>
        <w:t xml:space="preserve">a </w:t>
      </w:r>
      <w:r w:rsidR="008713B7">
        <w:rPr>
          <w:lang w:val="en-US" w:eastAsia="ko-KR"/>
        </w:rPr>
        <w:t xml:space="preserve">blind area directly above the serving ATG BS in a short time, so the ATG UE should be able to search/measure intra/inter-frequency layers. Therefore, </w:t>
      </w:r>
      <w:r w:rsidR="00B648C5">
        <w:rPr>
          <w:lang w:val="en-US" w:eastAsia="ko-KR"/>
        </w:rPr>
        <w:t>distance/location based mobility should be introduced as an addition</w:t>
      </w:r>
      <w:r w:rsidR="00F15315">
        <w:rPr>
          <w:lang w:val="en-US" w:eastAsia="ko-KR"/>
        </w:rPr>
        <w:t>al</w:t>
      </w:r>
      <w:r w:rsidR="00B648C5">
        <w:rPr>
          <w:lang w:val="en-US" w:eastAsia="ko-KR"/>
        </w:rPr>
        <w:t xml:space="preserve"> condition to cover blind area</w:t>
      </w:r>
      <w:r w:rsidR="00F15315">
        <w:rPr>
          <w:lang w:val="en-US" w:eastAsia="ko-KR"/>
        </w:rPr>
        <w:t>s</w:t>
      </w:r>
      <w:r w:rsidR="00B648C5">
        <w:rPr>
          <w:lang w:val="en-US" w:eastAsia="ko-KR"/>
        </w:rPr>
        <w:t xml:space="preserve"> which is observed in ATG deployment. </w:t>
      </w:r>
    </w:p>
    <w:p w14:paraId="54B4BA6A" w14:textId="249F3C5E" w:rsidR="00B648C5" w:rsidRPr="008713B7" w:rsidRDefault="00B648C5" w:rsidP="00B648C5">
      <w:pPr>
        <w:pStyle w:val="a0"/>
        <w:numPr>
          <w:ilvl w:val="0"/>
          <w:numId w:val="26"/>
        </w:numPr>
        <w:jc w:val="both"/>
        <w:rPr>
          <w:lang w:val="en-US" w:eastAsia="ko-KR"/>
        </w:rPr>
      </w:pPr>
      <w:r w:rsidRPr="00B648C5">
        <w:rPr>
          <w:b/>
          <w:i/>
          <w:lang w:val="en-US" w:eastAsia="ko-KR"/>
        </w:rPr>
        <w:t>Proposal 1</w:t>
      </w:r>
      <w:r>
        <w:rPr>
          <w:lang w:val="en-US" w:eastAsia="ko-KR"/>
        </w:rPr>
        <w:t>: Introduce distance-based cell reselection and location-based CHO</w:t>
      </w:r>
    </w:p>
    <w:p w14:paraId="461180CD" w14:textId="5CB493A8" w:rsidR="00703436" w:rsidRPr="00001EF7" w:rsidRDefault="00703436" w:rsidP="00001EF7">
      <w:pPr>
        <w:autoSpaceDN w:val="0"/>
        <w:spacing w:after="120"/>
        <w:rPr>
          <w:rFonts w:eastAsia="SimSun"/>
          <w:sz w:val="21"/>
          <w:szCs w:val="21"/>
        </w:rPr>
      </w:pPr>
    </w:p>
    <w:p w14:paraId="1CF14F05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70714562" w14:textId="2836720F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62418F">
        <w:rPr>
          <w:lang w:val="en-US" w:eastAsia="ko-KR"/>
        </w:rPr>
        <w:t>our proposal</w:t>
      </w:r>
      <w:r w:rsidR="009A1483">
        <w:rPr>
          <w:lang w:val="en-US" w:eastAsia="ko-KR"/>
        </w:rPr>
        <w:t>s</w:t>
      </w:r>
      <w:r w:rsidR="0062418F">
        <w:rPr>
          <w:lang w:val="en-US" w:eastAsia="ko-KR"/>
        </w:rPr>
        <w:t xml:space="preserve"> </w:t>
      </w:r>
      <w:r w:rsidR="00953F68">
        <w:rPr>
          <w:rFonts w:hint="eastAsia"/>
          <w:lang w:val="en-US" w:eastAsia="ko-KR"/>
        </w:rPr>
        <w:t>a</w:t>
      </w:r>
      <w:r w:rsidR="00953F68">
        <w:rPr>
          <w:lang w:val="en-US" w:eastAsia="ko-KR"/>
        </w:rPr>
        <w:t xml:space="preserve">re </w:t>
      </w:r>
      <w:r w:rsidR="0062418F">
        <w:rPr>
          <w:lang w:val="en-US" w:eastAsia="ko-KR"/>
        </w:rPr>
        <w:t>provided as follows:</w:t>
      </w:r>
    </w:p>
    <w:p w14:paraId="7174FDCA" w14:textId="77777777" w:rsidR="00F15315" w:rsidRPr="008713B7" w:rsidRDefault="00F15315" w:rsidP="00F15315">
      <w:pPr>
        <w:pStyle w:val="a0"/>
        <w:numPr>
          <w:ilvl w:val="0"/>
          <w:numId w:val="26"/>
        </w:numPr>
        <w:jc w:val="both"/>
        <w:rPr>
          <w:lang w:val="en-US" w:eastAsia="ko-KR"/>
        </w:rPr>
      </w:pPr>
      <w:r w:rsidRPr="00B648C5">
        <w:rPr>
          <w:b/>
          <w:i/>
          <w:lang w:val="en-US" w:eastAsia="ko-KR"/>
        </w:rPr>
        <w:t>Proposal 1</w:t>
      </w:r>
      <w:r>
        <w:rPr>
          <w:lang w:val="en-US" w:eastAsia="ko-KR"/>
        </w:rPr>
        <w:t>: Introduce distance-based cell reselection and location-based CHO</w:t>
      </w:r>
    </w:p>
    <w:p w14:paraId="489CA94B" w14:textId="77777777" w:rsidR="00C6596A" w:rsidRPr="00F15315" w:rsidRDefault="00C6596A" w:rsidP="00C6596A">
      <w:pPr>
        <w:pStyle w:val="a0"/>
        <w:jc w:val="both"/>
        <w:rPr>
          <w:lang w:val="en-US" w:eastAsia="ko-KR"/>
        </w:rPr>
      </w:pPr>
    </w:p>
    <w:p w14:paraId="3D176B3A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3A6826C0" w14:textId="3BEF753A" w:rsidR="00752799" w:rsidRPr="005D79C4" w:rsidRDefault="00186A50" w:rsidP="005D79C4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64325A" w:rsidRPr="0064325A">
        <w:rPr>
          <w:lang w:val="en-US" w:eastAsia="ko-KR"/>
        </w:rPr>
        <w:t>R4-2310159</w:t>
      </w:r>
      <w:r>
        <w:rPr>
          <w:lang w:val="en-US" w:eastAsia="ko-KR"/>
        </w:rPr>
        <w:t>,</w:t>
      </w:r>
      <w:r w:rsidRPr="009F3544">
        <w:rPr>
          <w:lang w:val="en-US" w:eastAsia="ko-KR"/>
        </w:rPr>
        <w:t xml:space="preserve"> </w:t>
      </w:r>
      <w:r>
        <w:rPr>
          <w:lang w:val="en-US" w:eastAsia="ko-KR"/>
        </w:rPr>
        <w:t>“WF on NR ATG RRM requirement”, CMCC</w:t>
      </w:r>
    </w:p>
    <w:sectPr w:rsidR="00752799" w:rsidRPr="005D79C4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2148A" w14:textId="77777777" w:rsidR="00590121" w:rsidRDefault="00590121" w:rsidP="00D306DF">
      <w:r>
        <w:separator/>
      </w:r>
    </w:p>
  </w:endnote>
  <w:endnote w:type="continuationSeparator" w:id="0">
    <w:p w14:paraId="5F06E018" w14:textId="77777777" w:rsidR="00590121" w:rsidRDefault="00590121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 Light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C88B6" w14:textId="77777777" w:rsidR="00590121" w:rsidRDefault="00590121" w:rsidP="00D306DF">
      <w:r>
        <w:separator/>
      </w:r>
    </w:p>
  </w:footnote>
  <w:footnote w:type="continuationSeparator" w:id="0">
    <w:p w14:paraId="4A95CEB6" w14:textId="77777777" w:rsidR="00590121" w:rsidRDefault="00590121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7561539"/>
    <w:multiLevelType w:val="hybridMultilevel"/>
    <w:tmpl w:val="0D7EFAF4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>
    <w:nsid w:val="25170D64"/>
    <w:multiLevelType w:val="hybridMultilevel"/>
    <w:tmpl w:val="E5B6341A"/>
    <w:lvl w:ilvl="0" w:tplc="BB6E063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9257589"/>
    <w:multiLevelType w:val="hybridMultilevel"/>
    <w:tmpl w:val="B6E88952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6432827"/>
    <w:multiLevelType w:val="hybridMultilevel"/>
    <w:tmpl w:val="A2948954"/>
    <w:lvl w:ilvl="0" w:tplc="A658144A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5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7"/>
  </w:num>
  <w:num w:numId="4">
    <w:abstractNumId w:val="12"/>
  </w:num>
  <w:num w:numId="5">
    <w:abstractNumId w:val="8"/>
  </w:num>
  <w:num w:numId="6">
    <w:abstractNumId w:val="18"/>
  </w:num>
  <w:num w:numId="7">
    <w:abstractNumId w:val="16"/>
  </w:num>
  <w:num w:numId="8">
    <w:abstractNumId w:val="0"/>
  </w:num>
  <w:num w:numId="9">
    <w:abstractNumId w:val="25"/>
  </w:num>
  <w:num w:numId="10">
    <w:abstractNumId w:val="4"/>
  </w:num>
  <w:num w:numId="11">
    <w:abstractNumId w:val="21"/>
  </w:num>
  <w:num w:numId="12">
    <w:abstractNumId w:val="23"/>
  </w:num>
  <w:num w:numId="13">
    <w:abstractNumId w:val="11"/>
  </w:num>
  <w:num w:numId="14">
    <w:abstractNumId w:val="20"/>
  </w:num>
  <w:num w:numId="15">
    <w:abstractNumId w:val="13"/>
  </w:num>
  <w:num w:numId="16">
    <w:abstractNumId w:val="10"/>
  </w:num>
  <w:num w:numId="17">
    <w:abstractNumId w:val="15"/>
  </w:num>
  <w:num w:numId="18">
    <w:abstractNumId w:val="14"/>
  </w:num>
  <w:num w:numId="19">
    <w:abstractNumId w:val="2"/>
  </w:num>
  <w:num w:numId="20">
    <w:abstractNumId w:val="7"/>
  </w:num>
  <w:num w:numId="21">
    <w:abstractNumId w:val="19"/>
  </w:num>
  <w:num w:numId="22">
    <w:abstractNumId w:val="5"/>
  </w:num>
  <w:num w:numId="23">
    <w:abstractNumId w:val="1"/>
  </w:num>
  <w:num w:numId="24">
    <w:abstractNumId w:val="22"/>
  </w:num>
  <w:num w:numId="25">
    <w:abstractNumId w:val="24"/>
  </w:num>
  <w:num w:numId="2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Mq4FANz4OLMtAAAA"/>
  </w:docVars>
  <w:rsids>
    <w:rsidRoot w:val="001171FA"/>
    <w:rsid w:val="0000083D"/>
    <w:rsid w:val="0000173F"/>
    <w:rsid w:val="00001EF7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64D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035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781"/>
    <w:rsid w:val="0005599A"/>
    <w:rsid w:val="00057CBC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68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1FD9"/>
    <w:rsid w:val="0009367E"/>
    <w:rsid w:val="00094295"/>
    <w:rsid w:val="00095853"/>
    <w:rsid w:val="00095AE5"/>
    <w:rsid w:val="00095E62"/>
    <w:rsid w:val="0009603C"/>
    <w:rsid w:val="0009604A"/>
    <w:rsid w:val="00096054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1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997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BD7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47"/>
    <w:rsid w:val="001068F8"/>
    <w:rsid w:val="0010779B"/>
    <w:rsid w:val="00107D58"/>
    <w:rsid w:val="001101D9"/>
    <w:rsid w:val="00110298"/>
    <w:rsid w:val="00110EC9"/>
    <w:rsid w:val="00111D33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10A"/>
    <w:rsid w:val="00123B30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76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8F9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20F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45C9"/>
    <w:rsid w:val="0017611B"/>
    <w:rsid w:val="00177ACA"/>
    <w:rsid w:val="001803BA"/>
    <w:rsid w:val="00180586"/>
    <w:rsid w:val="00181F52"/>
    <w:rsid w:val="00182C2C"/>
    <w:rsid w:val="00183372"/>
    <w:rsid w:val="001839C8"/>
    <w:rsid w:val="00183F83"/>
    <w:rsid w:val="00186A50"/>
    <w:rsid w:val="00187F2E"/>
    <w:rsid w:val="0019037B"/>
    <w:rsid w:val="00190F35"/>
    <w:rsid w:val="0019112E"/>
    <w:rsid w:val="001916DB"/>
    <w:rsid w:val="00191CCE"/>
    <w:rsid w:val="00192F30"/>
    <w:rsid w:val="00193D86"/>
    <w:rsid w:val="001941DA"/>
    <w:rsid w:val="00194491"/>
    <w:rsid w:val="0019580A"/>
    <w:rsid w:val="0019622E"/>
    <w:rsid w:val="00196871"/>
    <w:rsid w:val="0019728E"/>
    <w:rsid w:val="0019793F"/>
    <w:rsid w:val="00197ABE"/>
    <w:rsid w:val="001A0FAC"/>
    <w:rsid w:val="001A1300"/>
    <w:rsid w:val="001A1A7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A73FD"/>
    <w:rsid w:val="001B0634"/>
    <w:rsid w:val="001B1FF3"/>
    <w:rsid w:val="001B394E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AED"/>
    <w:rsid w:val="001C5E1B"/>
    <w:rsid w:val="001C77C4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2F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449B"/>
    <w:rsid w:val="00255C49"/>
    <w:rsid w:val="0025609E"/>
    <w:rsid w:val="0025661B"/>
    <w:rsid w:val="0025674D"/>
    <w:rsid w:val="0026168B"/>
    <w:rsid w:val="00261A52"/>
    <w:rsid w:val="0026377B"/>
    <w:rsid w:val="00263AF5"/>
    <w:rsid w:val="00264E44"/>
    <w:rsid w:val="00266BD1"/>
    <w:rsid w:val="00267630"/>
    <w:rsid w:val="0027093D"/>
    <w:rsid w:val="002711FE"/>
    <w:rsid w:val="00271E9F"/>
    <w:rsid w:val="002725F8"/>
    <w:rsid w:val="00272E1E"/>
    <w:rsid w:val="00273781"/>
    <w:rsid w:val="00273AAA"/>
    <w:rsid w:val="00273E52"/>
    <w:rsid w:val="0027431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76C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3A80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23E0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69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443F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CF0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0DBF"/>
    <w:rsid w:val="003D10EF"/>
    <w:rsid w:val="003D128D"/>
    <w:rsid w:val="003D233A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94"/>
    <w:rsid w:val="003F3FA5"/>
    <w:rsid w:val="003F4002"/>
    <w:rsid w:val="003F401D"/>
    <w:rsid w:val="003F4E31"/>
    <w:rsid w:val="003F5EE4"/>
    <w:rsid w:val="003F677B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0756F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3B6B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055"/>
    <w:rsid w:val="00467A31"/>
    <w:rsid w:val="004702C3"/>
    <w:rsid w:val="004730B7"/>
    <w:rsid w:val="00473ED6"/>
    <w:rsid w:val="00473F59"/>
    <w:rsid w:val="00474F28"/>
    <w:rsid w:val="00475726"/>
    <w:rsid w:val="00477C93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862E8"/>
    <w:rsid w:val="0049218E"/>
    <w:rsid w:val="00492640"/>
    <w:rsid w:val="00492839"/>
    <w:rsid w:val="00492EA4"/>
    <w:rsid w:val="00494285"/>
    <w:rsid w:val="004946FB"/>
    <w:rsid w:val="00494941"/>
    <w:rsid w:val="004961B0"/>
    <w:rsid w:val="004A06BF"/>
    <w:rsid w:val="004A16CD"/>
    <w:rsid w:val="004A3660"/>
    <w:rsid w:val="004A61DC"/>
    <w:rsid w:val="004A69A6"/>
    <w:rsid w:val="004B0607"/>
    <w:rsid w:val="004B0A42"/>
    <w:rsid w:val="004B1DC5"/>
    <w:rsid w:val="004B2651"/>
    <w:rsid w:val="004B30AF"/>
    <w:rsid w:val="004B338D"/>
    <w:rsid w:val="004B3F28"/>
    <w:rsid w:val="004B49AE"/>
    <w:rsid w:val="004B5719"/>
    <w:rsid w:val="004B5744"/>
    <w:rsid w:val="004B6483"/>
    <w:rsid w:val="004B651B"/>
    <w:rsid w:val="004B702F"/>
    <w:rsid w:val="004B7473"/>
    <w:rsid w:val="004B798E"/>
    <w:rsid w:val="004B7C10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6CB2"/>
    <w:rsid w:val="004E7FDD"/>
    <w:rsid w:val="004F06A1"/>
    <w:rsid w:val="004F1A1E"/>
    <w:rsid w:val="004F2245"/>
    <w:rsid w:val="004F2971"/>
    <w:rsid w:val="004F29BB"/>
    <w:rsid w:val="004F2B4C"/>
    <w:rsid w:val="004F30D3"/>
    <w:rsid w:val="004F6157"/>
    <w:rsid w:val="004F6FBE"/>
    <w:rsid w:val="00501342"/>
    <w:rsid w:val="005025F0"/>
    <w:rsid w:val="0050315E"/>
    <w:rsid w:val="005035B5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5BB"/>
    <w:rsid w:val="00516896"/>
    <w:rsid w:val="005170F0"/>
    <w:rsid w:val="00517AD8"/>
    <w:rsid w:val="00517BA6"/>
    <w:rsid w:val="0052017D"/>
    <w:rsid w:val="00522A75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27FEF"/>
    <w:rsid w:val="005312B0"/>
    <w:rsid w:val="00531BAB"/>
    <w:rsid w:val="005322A6"/>
    <w:rsid w:val="00535DD3"/>
    <w:rsid w:val="00536126"/>
    <w:rsid w:val="00537F73"/>
    <w:rsid w:val="005406F0"/>
    <w:rsid w:val="0054124E"/>
    <w:rsid w:val="00541579"/>
    <w:rsid w:val="00541F2D"/>
    <w:rsid w:val="005420FF"/>
    <w:rsid w:val="00543075"/>
    <w:rsid w:val="00543447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579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77FBC"/>
    <w:rsid w:val="005801FB"/>
    <w:rsid w:val="00584093"/>
    <w:rsid w:val="0058431D"/>
    <w:rsid w:val="00585052"/>
    <w:rsid w:val="00585859"/>
    <w:rsid w:val="00585F9D"/>
    <w:rsid w:val="0058657D"/>
    <w:rsid w:val="00587FFD"/>
    <w:rsid w:val="00590121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1F3"/>
    <w:rsid w:val="005C3E5D"/>
    <w:rsid w:val="005C429C"/>
    <w:rsid w:val="005C43BE"/>
    <w:rsid w:val="005C537B"/>
    <w:rsid w:val="005C54C8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D79C4"/>
    <w:rsid w:val="005E021A"/>
    <w:rsid w:val="005E1796"/>
    <w:rsid w:val="005E1F42"/>
    <w:rsid w:val="005E1F93"/>
    <w:rsid w:val="005E2BB0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6A3"/>
    <w:rsid w:val="00610BCA"/>
    <w:rsid w:val="00610FD0"/>
    <w:rsid w:val="00612AAA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18F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25A"/>
    <w:rsid w:val="00643914"/>
    <w:rsid w:val="00644ABF"/>
    <w:rsid w:val="00645F09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3528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4A0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95C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E8"/>
    <w:rsid w:val="006E1F13"/>
    <w:rsid w:val="006E2AB7"/>
    <w:rsid w:val="006E3E1A"/>
    <w:rsid w:val="006E49E7"/>
    <w:rsid w:val="006E4A3B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3436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56A"/>
    <w:rsid w:val="00717768"/>
    <w:rsid w:val="00720FB0"/>
    <w:rsid w:val="00723748"/>
    <w:rsid w:val="0072442F"/>
    <w:rsid w:val="007249CF"/>
    <w:rsid w:val="007249D7"/>
    <w:rsid w:val="00724CB9"/>
    <w:rsid w:val="00726001"/>
    <w:rsid w:val="0072623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630"/>
    <w:rsid w:val="00737DF6"/>
    <w:rsid w:val="00737F9E"/>
    <w:rsid w:val="00737FAF"/>
    <w:rsid w:val="00740E26"/>
    <w:rsid w:val="00740E55"/>
    <w:rsid w:val="00741108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198"/>
    <w:rsid w:val="00750216"/>
    <w:rsid w:val="007520D6"/>
    <w:rsid w:val="007521A7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39BC"/>
    <w:rsid w:val="007D3BA9"/>
    <w:rsid w:val="007D567A"/>
    <w:rsid w:val="007D662B"/>
    <w:rsid w:val="007D721A"/>
    <w:rsid w:val="007E0483"/>
    <w:rsid w:val="007E0528"/>
    <w:rsid w:val="007E0F2B"/>
    <w:rsid w:val="007E2499"/>
    <w:rsid w:val="007E3059"/>
    <w:rsid w:val="007E3246"/>
    <w:rsid w:val="007E32E6"/>
    <w:rsid w:val="007E34F1"/>
    <w:rsid w:val="007E3D68"/>
    <w:rsid w:val="007E3EC5"/>
    <w:rsid w:val="007E4D38"/>
    <w:rsid w:val="007E5CC0"/>
    <w:rsid w:val="007E628F"/>
    <w:rsid w:val="007E696E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1C0"/>
    <w:rsid w:val="007F5312"/>
    <w:rsid w:val="007F567B"/>
    <w:rsid w:val="007F5DFC"/>
    <w:rsid w:val="007F5E32"/>
    <w:rsid w:val="007F6F16"/>
    <w:rsid w:val="007F6FDB"/>
    <w:rsid w:val="007F7C57"/>
    <w:rsid w:val="007F7DC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3B7"/>
    <w:rsid w:val="0087171A"/>
    <w:rsid w:val="008729F5"/>
    <w:rsid w:val="0087423A"/>
    <w:rsid w:val="00874AE4"/>
    <w:rsid w:val="00874B2F"/>
    <w:rsid w:val="00874B43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5CDD"/>
    <w:rsid w:val="008B63B4"/>
    <w:rsid w:val="008B689E"/>
    <w:rsid w:val="008B7118"/>
    <w:rsid w:val="008B72C8"/>
    <w:rsid w:val="008B75C4"/>
    <w:rsid w:val="008B7E28"/>
    <w:rsid w:val="008C0520"/>
    <w:rsid w:val="008C0AF5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8F7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3BE"/>
    <w:rsid w:val="008F44F6"/>
    <w:rsid w:val="008F4CB1"/>
    <w:rsid w:val="008F5D41"/>
    <w:rsid w:val="008F622B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DF6"/>
    <w:rsid w:val="0091225B"/>
    <w:rsid w:val="009122D2"/>
    <w:rsid w:val="0091264D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5F3E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F68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67B42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E96"/>
    <w:rsid w:val="009919E9"/>
    <w:rsid w:val="00993E17"/>
    <w:rsid w:val="009940BB"/>
    <w:rsid w:val="00995FEA"/>
    <w:rsid w:val="0099621F"/>
    <w:rsid w:val="00996A2E"/>
    <w:rsid w:val="00996F3A"/>
    <w:rsid w:val="00997D0B"/>
    <w:rsid w:val="009A1483"/>
    <w:rsid w:val="009A1992"/>
    <w:rsid w:val="009A2BDD"/>
    <w:rsid w:val="009A3A57"/>
    <w:rsid w:val="009A3F3E"/>
    <w:rsid w:val="009A4CAD"/>
    <w:rsid w:val="009A4F46"/>
    <w:rsid w:val="009A5435"/>
    <w:rsid w:val="009A5936"/>
    <w:rsid w:val="009A66A7"/>
    <w:rsid w:val="009A6852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36F2"/>
    <w:rsid w:val="00A040FE"/>
    <w:rsid w:val="00A0436B"/>
    <w:rsid w:val="00A05B04"/>
    <w:rsid w:val="00A066CC"/>
    <w:rsid w:val="00A116EB"/>
    <w:rsid w:val="00A120DB"/>
    <w:rsid w:val="00A14618"/>
    <w:rsid w:val="00A15802"/>
    <w:rsid w:val="00A16780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1AE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0999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2A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00F"/>
    <w:rsid w:val="00A92921"/>
    <w:rsid w:val="00A930F9"/>
    <w:rsid w:val="00A94CDC"/>
    <w:rsid w:val="00A97710"/>
    <w:rsid w:val="00A977B7"/>
    <w:rsid w:val="00A97BC5"/>
    <w:rsid w:val="00AA11BF"/>
    <w:rsid w:val="00AA17AF"/>
    <w:rsid w:val="00AA2D30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1E39"/>
    <w:rsid w:val="00AB223D"/>
    <w:rsid w:val="00AB2D01"/>
    <w:rsid w:val="00AB4177"/>
    <w:rsid w:val="00AB432A"/>
    <w:rsid w:val="00AB4AEE"/>
    <w:rsid w:val="00AB50D4"/>
    <w:rsid w:val="00AB5FBD"/>
    <w:rsid w:val="00AB6FC3"/>
    <w:rsid w:val="00AB71E1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32D"/>
    <w:rsid w:val="00AE6DC1"/>
    <w:rsid w:val="00AF00A1"/>
    <w:rsid w:val="00AF0662"/>
    <w:rsid w:val="00AF0745"/>
    <w:rsid w:val="00AF221D"/>
    <w:rsid w:val="00AF22E5"/>
    <w:rsid w:val="00AF3101"/>
    <w:rsid w:val="00AF6280"/>
    <w:rsid w:val="00AF6ACD"/>
    <w:rsid w:val="00AF6B44"/>
    <w:rsid w:val="00AF729C"/>
    <w:rsid w:val="00AF7F15"/>
    <w:rsid w:val="00B0032A"/>
    <w:rsid w:val="00B012F8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8C5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5C4C"/>
    <w:rsid w:val="00BC6BBB"/>
    <w:rsid w:val="00BD02EE"/>
    <w:rsid w:val="00BD1DC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21A"/>
    <w:rsid w:val="00BE6304"/>
    <w:rsid w:val="00BE67CA"/>
    <w:rsid w:val="00BF02F3"/>
    <w:rsid w:val="00BF1CF2"/>
    <w:rsid w:val="00BF1D46"/>
    <w:rsid w:val="00BF4117"/>
    <w:rsid w:val="00BF41BE"/>
    <w:rsid w:val="00BF4550"/>
    <w:rsid w:val="00BF600E"/>
    <w:rsid w:val="00BF6304"/>
    <w:rsid w:val="00BF796D"/>
    <w:rsid w:val="00BF7CA7"/>
    <w:rsid w:val="00BF7DE0"/>
    <w:rsid w:val="00C00F20"/>
    <w:rsid w:val="00C01311"/>
    <w:rsid w:val="00C04A34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32D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0E2A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335"/>
    <w:rsid w:val="00CB3421"/>
    <w:rsid w:val="00CB45C7"/>
    <w:rsid w:val="00CB4799"/>
    <w:rsid w:val="00CB4B07"/>
    <w:rsid w:val="00CB4E1E"/>
    <w:rsid w:val="00CB5517"/>
    <w:rsid w:val="00CB5D59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AD6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4DDF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8A9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1756C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1E5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73C2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0D10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760"/>
    <w:rsid w:val="00D9628D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2D4"/>
    <w:rsid w:val="00DC6544"/>
    <w:rsid w:val="00DC6E13"/>
    <w:rsid w:val="00DD06E2"/>
    <w:rsid w:val="00DD11BC"/>
    <w:rsid w:val="00DD1814"/>
    <w:rsid w:val="00DD3F41"/>
    <w:rsid w:val="00DD40A7"/>
    <w:rsid w:val="00DD47E1"/>
    <w:rsid w:val="00DD4B6A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152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64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28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0250"/>
    <w:rsid w:val="00E71213"/>
    <w:rsid w:val="00E716C6"/>
    <w:rsid w:val="00E7388B"/>
    <w:rsid w:val="00E74BDC"/>
    <w:rsid w:val="00E778F5"/>
    <w:rsid w:val="00E80FCA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01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2A21"/>
    <w:rsid w:val="00ED34DB"/>
    <w:rsid w:val="00ED392A"/>
    <w:rsid w:val="00ED43FB"/>
    <w:rsid w:val="00ED5BC7"/>
    <w:rsid w:val="00ED70A0"/>
    <w:rsid w:val="00EE011E"/>
    <w:rsid w:val="00EE1017"/>
    <w:rsid w:val="00EE1DAA"/>
    <w:rsid w:val="00EE20CA"/>
    <w:rsid w:val="00EE3C05"/>
    <w:rsid w:val="00EE4034"/>
    <w:rsid w:val="00EE5E9A"/>
    <w:rsid w:val="00EE6051"/>
    <w:rsid w:val="00EE730D"/>
    <w:rsid w:val="00EE79EC"/>
    <w:rsid w:val="00EF17D6"/>
    <w:rsid w:val="00EF1C2D"/>
    <w:rsid w:val="00EF1F81"/>
    <w:rsid w:val="00EF298C"/>
    <w:rsid w:val="00EF32AF"/>
    <w:rsid w:val="00EF4913"/>
    <w:rsid w:val="00EF6A96"/>
    <w:rsid w:val="00EF6BB5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938"/>
    <w:rsid w:val="00F10DD8"/>
    <w:rsid w:val="00F1103B"/>
    <w:rsid w:val="00F11CF0"/>
    <w:rsid w:val="00F1276E"/>
    <w:rsid w:val="00F14143"/>
    <w:rsid w:val="00F15315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99D"/>
    <w:rsid w:val="00F41D41"/>
    <w:rsid w:val="00F41EF1"/>
    <w:rsid w:val="00F44DB3"/>
    <w:rsid w:val="00F457B2"/>
    <w:rsid w:val="00F47940"/>
    <w:rsid w:val="00F509D0"/>
    <w:rsid w:val="00F50B22"/>
    <w:rsid w:val="00F51130"/>
    <w:rsid w:val="00F51432"/>
    <w:rsid w:val="00F51B9D"/>
    <w:rsid w:val="00F51D7A"/>
    <w:rsid w:val="00F534FD"/>
    <w:rsid w:val="00F54A39"/>
    <w:rsid w:val="00F55E1F"/>
    <w:rsid w:val="00F5684D"/>
    <w:rsid w:val="00F56B46"/>
    <w:rsid w:val="00F56FC9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28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454"/>
    <w:rsid w:val="00FD1847"/>
    <w:rsid w:val="00FD2FD9"/>
    <w:rsid w:val="00FD4642"/>
    <w:rsid w:val="00FD50AA"/>
    <w:rsid w:val="00FD5192"/>
    <w:rsid w:val="00FD58F5"/>
    <w:rsid w:val="00FD5F8C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1AA"/>
    <w:rsid w:val="00FF47E2"/>
    <w:rsid w:val="00FF4B61"/>
    <w:rsid w:val="00FF5638"/>
    <w:rsid w:val="00FF5ED9"/>
    <w:rsid w:val="00FF6360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009133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9DE84-9829-4EA9-89E6-BC8235FA3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2023-08-11T07:48:00Z</dcterms:created>
  <dcterms:modified xsi:type="dcterms:W3CDTF">2023-08-11T07:48:00Z</dcterms:modified>
</cp:coreProperties>
</file>